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295" w:rsidRPr="00CC0295" w:rsidRDefault="00CC0295" w:rsidP="00CC02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0295">
        <w:rPr>
          <w:rFonts w:ascii="Times New Roman" w:hAnsi="Times New Roman" w:cs="Times New Roman"/>
          <w:b/>
          <w:sz w:val="24"/>
          <w:szCs w:val="24"/>
        </w:rPr>
        <w:t xml:space="preserve">Deloitte </w:t>
      </w:r>
      <w:proofErr w:type="spellStart"/>
      <w:r w:rsidRPr="00CC0295">
        <w:rPr>
          <w:rFonts w:ascii="Times New Roman" w:hAnsi="Times New Roman" w:cs="Times New Roman"/>
          <w:b/>
          <w:sz w:val="24"/>
          <w:szCs w:val="24"/>
        </w:rPr>
        <w:t>Trueblood</w:t>
      </w:r>
      <w:proofErr w:type="spellEnd"/>
      <w:r w:rsidRPr="00CC02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0295">
        <w:rPr>
          <w:rFonts w:ascii="Times New Roman" w:hAnsi="Times New Roman" w:cs="Times New Roman"/>
          <w:b/>
          <w:bCs/>
          <w:sz w:val="24"/>
          <w:szCs w:val="24"/>
        </w:rPr>
        <w:t>Case 16-2</w:t>
      </w:r>
    </w:p>
    <w:p w:rsidR="00B020C1" w:rsidRPr="00CC0295" w:rsidRDefault="00CC0295" w:rsidP="00CC02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0295">
        <w:rPr>
          <w:rFonts w:ascii="Times New Roman" w:hAnsi="Times New Roman" w:cs="Times New Roman"/>
          <w:b/>
          <w:bCs/>
          <w:sz w:val="24"/>
          <w:szCs w:val="24"/>
        </w:rPr>
        <w:t>The Cable Guys</w:t>
      </w:r>
    </w:p>
    <w:p w:rsidR="00CC0295" w:rsidRDefault="00CC0295" w:rsidP="00CC0295">
      <w:pPr>
        <w:pStyle w:val="Default"/>
      </w:pPr>
      <w:r w:rsidRPr="00CC0295">
        <w:t xml:space="preserve"> </w:t>
      </w:r>
      <w:proofErr w:type="spellStart"/>
      <w:r w:rsidRPr="00CC0295">
        <w:t>CoAx</w:t>
      </w:r>
      <w:proofErr w:type="spellEnd"/>
      <w:r w:rsidRPr="00CC0295">
        <w:t xml:space="preserve"> (the “Company”), a publicly traded company, manufactures and sells coaxial and fiber-optical cable. </w:t>
      </w:r>
      <w:proofErr w:type="spellStart"/>
      <w:r w:rsidRPr="00CC0295">
        <w:t>CoAx</w:t>
      </w:r>
      <w:proofErr w:type="spellEnd"/>
      <w:r w:rsidRPr="00CC0295">
        <w:t xml:space="preserve"> is contemplating two separate transactions for which it is evaluating the appropriate revenue recognition. </w:t>
      </w:r>
    </w:p>
    <w:p w:rsidR="00EB11DE" w:rsidRPr="00CC0295" w:rsidRDefault="00EB11DE" w:rsidP="00CC0295">
      <w:pPr>
        <w:pStyle w:val="Default"/>
      </w:pPr>
    </w:p>
    <w:p w:rsidR="00CC0295" w:rsidRDefault="00CC0295" w:rsidP="00CC0295">
      <w:pPr>
        <w:pStyle w:val="Default"/>
        <w:rPr>
          <w:b/>
          <w:bCs/>
        </w:rPr>
      </w:pPr>
      <w:r w:rsidRPr="00CC0295">
        <w:rPr>
          <w:b/>
          <w:bCs/>
        </w:rPr>
        <w:t xml:space="preserve">Transaction 1 </w:t>
      </w:r>
    </w:p>
    <w:p w:rsidR="00EB11DE" w:rsidRPr="00CC0295" w:rsidRDefault="00EB11DE" w:rsidP="00CC0295">
      <w:pPr>
        <w:pStyle w:val="Default"/>
      </w:pPr>
    </w:p>
    <w:p w:rsidR="00CC0295" w:rsidRDefault="00CC0295" w:rsidP="00CC0295">
      <w:pPr>
        <w:pStyle w:val="Default"/>
      </w:pPr>
      <w:proofErr w:type="spellStart"/>
      <w:r w:rsidRPr="00CC0295">
        <w:t>CableCo</w:t>
      </w:r>
      <w:proofErr w:type="spellEnd"/>
      <w:r w:rsidRPr="00CC0295">
        <w:t xml:space="preserve">, a customer of </w:t>
      </w:r>
      <w:proofErr w:type="spellStart"/>
      <w:r w:rsidRPr="00CC0295">
        <w:t>CoAx</w:t>
      </w:r>
      <w:proofErr w:type="spellEnd"/>
      <w:r w:rsidRPr="00CC0295">
        <w:t xml:space="preserve">, has entered into a binding written agreement to purchase 1,000 feet of 18 American wire gage (AWG) coaxial cable for $3 per foot. Because </w:t>
      </w:r>
      <w:proofErr w:type="spellStart"/>
      <w:r w:rsidRPr="00CC0295">
        <w:t>CableCo</w:t>
      </w:r>
      <w:proofErr w:type="spellEnd"/>
      <w:r w:rsidRPr="00CC0295">
        <w:t xml:space="preserve"> is constructing a new warehouse, it is unable to take delivery of the cable and has requested in writing that </w:t>
      </w:r>
      <w:proofErr w:type="spellStart"/>
      <w:r w:rsidRPr="00CC0295">
        <w:t>CoAx</w:t>
      </w:r>
      <w:proofErr w:type="spellEnd"/>
      <w:r w:rsidRPr="00CC0295">
        <w:t xml:space="preserve"> store the cable in its warehouse until construction of </w:t>
      </w:r>
      <w:proofErr w:type="spellStart"/>
      <w:r w:rsidRPr="00CC0295">
        <w:t>CableCo’s</w:t>
      </w:r>
      <w:proofErr w:type="spellEnd"/>
      <w:r w:rsidRPr="00CC0295">
        <w:t xml:space="preserve"> warehouse is completed. </w:t>
      </w:r>
      <w:proofErr w:type="spellStart"/>
      <w:r w:rsidRPr="00CC0295">
        <w:t>CableCo’s</w:t>
      </w:r>
      <w:proofErr w:type="spellEnd"/>
      <w:r w:rsidRPr="00CC0295">
        <w:t xml:space="preserve"> warehouse will be completed three months from the time of purchase, at which time </w:t>
      </w:r>
      <w:proofErr w:type="spellStart"/>
      <w:r w:rsidRPr="00CC0295">
        <w:t>CableCo</w:t>
      </w:r>
      <w:proofErr w:type="spellEnd"/>
      <w:r w:rsidRPr="00CC0295">
        <w:t xml:space="preserve"> is required to take delivery of the cable. </w:t>
      </w:r>
      <w:proofErr w:type="spellStart"/>
      <w:r w:rsidRPr="00CC0295">
        <w:t>CoAx</w:t>
      </w:r>
      <w:proofErr w:type="spellEnd"/>
      <w:r w:rsidRPr="00CC0295">
        <w:t xml:space="preserve"> stores 18 AWG coaxial cable in 10,000-foot spools (spools of cable are considered finished goods and ready for shipment). </w:t>
      </w:r>
      <w:proofErr w:type="spellStart"/>
      <w:r w:rsidRPr="00CC0295">
        <w:t>CoAx</w:t>
      </w:r>
      <w:proofErr w:type="spellEnd"/>
      <w:r w:rsidRPr="00CC0295">
        <w:t xml:space="preserve"> will not physically segregate the cable that </w:t>
      </w:r>
      <w:proofErr w:type="spellStart"/>
      <w:r w:rsidRPr="00CC0295">
        <w:t>CableCo</w:t>
      </w:r>
      <w:proofErr w:type="spellEnd"/>
      <w:r w:rsidRPr="00CC0295">
        <w:t xml:space="preserve"> will purchase; rather, the Company will designate the quantity in its inventory tracking system as “sold,” thereby preventing the use of the cable to fulfill other customer orders. In other words, </w:t>
      </w:r>
      <w:proofErr w:type="spellStart"/>
      <w:r w:rsidRPr="00CC0295">
        <w:t>CoAx</w:t>
      </w:r>
      <w:proofErr w:type="spellEnd"/>
      <w:r w:rsidRPr="00CC0295">
        <w:t xml:space="preserve"> will “virtually” segregate the inventory. </w:t>
      </w:r>
      <w:proofErr w:type="spellStart"/>
      <w:r w:rsidRPr="00CC0295">
        <w:t>CoAx</w:t>
      </w:r>
      <w:proofErr w:type="spellEnd"/>
      <w:r w:rsidRPr="00CC0295">
        <w:t xml:space="preserve"> and its auditors have concluded the following with respect to the arrangement with </w:t>
      </w:r>
      <w:proofErr w:type="spellStart"/>
      <w:r w:rsidRPr="00CC0295">
        <w:t>CableCo</w:t>
      </w:r>
      <w:proofErr w:type="spellEnd"/>
      <w:r w:rsidRPr="00CC0295">
        <w:t xml:space="preserve">: </w:t>
      </w:r>
    </w:p>
    <w:p w:rsidR="00EB11DE" w:rsidRPr="00CC0295" w:rsidRDefault="00EB11DE" w:rsidP="00CC0295">
      <w:pPr>
        <w:pStyle w:val="Default"/>
      </w:pPr>
    </w:p>
    <w:p w:rsidR="00CC0295" w:rsidRPr="00CC0295" w:rsidRDefault="00CC0295" w:rsidP="00CC0295">
      <w:pPr>
        <w:pStyle w:val="Default"/>
        <w:spacing w:after="59"/>
      </w:pPr>
      <w:r w:rsidRPr="00CC0295">
        <w:t xml:space="preserve">• Risks of ownership of the cable have passed to </w:t>
      </w:r>
      <w:proofErr w:type="spellStart"/>
      <w:r w:rsidRPr="00CC0295">
        <w:t>CableCo</w:t>
      </w:r>
      <w:proofErr w:type="spellEnd"/>
      <w:r w:rsidRPr="00CC0295">
        <w:t xml:space="preserve">. </w:t>
      </w:r>
    </w:p>
    <w:p w:rsidR="00CC0295" w:rsidRPr="00CC0295" w:rsidRDefault="00CC0295" w:rsidP="00CC0295">
      <w:pPr>
        <w:pStyle w:val="Default"/>
        <w:spacing w:after="59"/>
      </w:pPr>
      <w:r w:rsidRPr="00CC0295">
        <w:t xml:space="preserve">• </w:t>
      </w:r>
      <w:proofErr w:type="spellStart"/>
      <w:r w:rsidRPr="00CC0295">
        <w:t>CableCo</w:t>
      </w:r>
      <w:proofErr w:type="spellEnd"/>
      <w:r w:rsidRPr="00CC0295">
        <w:t xml:space="preserve"> has a substantial business purpose for requesting </w:t>
      </w:r>
      <w:proofErr w:type="spellStart"/>
      <w:r w:rsidRPr="00CC0295">
        <w:t>CoAx</w:t>
      </w:r>
      <w:proofErr w:type="spellEnd"/>
      <w:r w:rsidRPr="00CC0295">
        <w:t xml:space="preserve"> to hold the cable at its warehouse (waiting on completion of the warehouse). </w:t>
      </w:r>
    </w:p>
    <w:p w:rsidR="00CC0295" w:rsidRPr="00CC0295" w:rsidRDefault="00CC0295" w:rsidP="00CC0295">
      <w:pPr>
        <w:pStyle w:val="Default"/>
      </w:pPr>
      <w:r w:rsidRPr="00CC0295">
        <w:t xml:space="preserve">• </w:t>
      </w:r>
      <w:proofErr w:type="spellStart"/>
      <w:r w:rsidRPr="00CC0295">
        <w:t>CoAx</w:t>
      </w:r>
      <w:proofErr w:type="spellEnd"/>
      <w:r w:rsidRPr="00CC0295">
        <w:t xml:space="preserve"> does not have additional performance obligations with respect to the cable purchased by </w:t>
      </w:r>
      <w:proofErr w:type="spellStart"/>
      <w:r w:rsidRPr="00CC0295">
        <w:t>CableCo</w:t>
      </w:r>
      <w:proofErr w:type="spellEnd"/>
      <w:r w:rsidRPr="00CC0295">
        <w:t xml:space="preserve">. </w:t>
      </w:r>
    </w:p>
    <w:p w:rsidR="00CC0295" w:rsidRPr="00CC0295" w:rsidRDefault="00CC0295" w:rsidP="00CC0295">
      <w:pPr>
        <w:pStyle w:val="Default"/>
      </w:pPr>
    </w:p>
    <w:p w:rsidR="00CC0295" w:rsidRDefault="00CC0295" w:rsidP="00CC0295">
      <w:pPr>
        <w:pStyle w:val="Default"/>
      </w:pPr>
      <w:proofErr w:type="spellStart"/>
      <w:r w:rsidRPr="00CC0295">
        <w:t>CoAx</w:t>
      </w:r>
      <w:proofErr w:type="spellEnd"/>
      <w:r w:rsidRPr="00CC0295">
        <w:t xml:space="preserve"> has concluded that it is appropriate to recognize revenue for Transaction 1 before the date on which </w:t>
      </w:r>
      <w:proofErr w:type="spellStart"/>
      <w:r w:rsidRPr="00CC0295">
        <w:t>CableCo</w:t>
      </w:r>
      <w:proofErr w:type="spellEnd"/>
      <w:r w:rsidRPr="00CC0295">
        <w:t xml:space="preserve"> takes delivery of the 1,000 feet of 18 AWG coaxial cable. </w:t>
      </w:r>
    </w:p>
    <w:p w:rsidR="00CC0295" w:rsidRPr="00CC0295" w:rsidRDefault="00CC0295" w:rsidP="00CC0295">
      <w:pPr>
        <w:pStyle w:val="Default"/>
      </w:pPr>
    </w:p>
    <w:p w:rsidR="00CC0295" w:rsidRDefault="00CC0295" w:rsidP="00CC0295">
      <w:pPr>
        <w:pStyle w:val="Default"/>
        <w:rPr>
          <w:b/>
          <w:bCs/>
        </w:rPr>
      </w:pPr>
      <w:r w:rsidRPr="00CC0295">
        <w:rPr>
          <w:b/>
          <w:bCs/>
        </w:rPr>
        <w:t xml:space="preserve">Transaction 2 </w:t>
      </w:r>
    </w:p>
    <w:p w:rsidR="00EB11DE" w:rsidRPr="00CC0295" w:rsidRDefault="00EB11DE" w:rsidP="00CC0295">
      <w:pPr>
        <w:pStyle w:val="Default"/>
      </w:pPr>
    </w:p>
    <w:p w:rsidR="00CC0295" w:rsidRDefault="00CC0295" w:rsidP="00CC0295">
      <w:pPr>
        <w:pStyle w:val="Default"/>
      </w:pPr>
      <w:proofErr w:type="spellStart"/>
      <w:r w:rsidRPr="00CC0295">
        <w:t>TeleCo</w:t>
      </w:r>
      <w:proofErr w:type="spellEnd"/>
      <w:r w:rsidRPr="00CC0295">
        <w:t xml:space="preserve">, a customer of </w:t>
      </w:r>
      <w:proofErr w:type="spellStart"/>
      <w:r w:rsidRPr="00CC0295">
        <w:t>CoAx</w:t>
      </w:r>
      <w:proofErr w:type="spellEnd"/>
      <w:r w:rsidRPr="00CC0295">
        <w:t xml:space="preserve">, entered into a binding written agreement to purchase 1,500 feet of fiber-optical cable for $3 per foot. </w:t>
      </w:r>
      <w:proofErr w:type="spellStart"/>
      <w:r w:rsidRPr="00CC0295">
        <w:t>TeleCo’s</w:t>
      </w:r>
      <w:proofErr w:type="spellEnd"/>
      <w:r w:rsidRPr="00CC0295">
        <w:t xml:space="preserve"> shipping terms are freight on board (FOB) shipping point, and </w:t>
      </w:r>
      <w:proofErr w:type="spellStart"/>
      <w:r w:rsidRPr="00CC0295">
        <w:t>CoAx</w:t>
      </w:r>
      <w:proofErr w:type="spellEnd"/>
      <w:r w:rsidRPr="00CC0295">
        <w:t xml:space="preserve"> collected payment before the order shipped. Title transfers upon delivery to the carrier, and </w:t>
      </w:r>
      <w:proofErr w:type="spellStart"/>
      <w:r w:rsidRPr="00CC0295">
        <w:t>TeleCo</w:t>
      </w:r>
      <w:proofErr w:type="spellEnd"/>
      <w:r w:rsidRPr="00CC0295">
        <w:t xml:space="preserve"> will insure the product while it is in transit. Instead of using a third-party shipper (e.g., FedEx, UPS), </w:t>
      </w:r>
      <w:proofErr w:type="spellStart"/>
      <w:r w:rsidRPr="00CC0295">
        <w:t>CoAx</w:t>
      </w:r>
      <w:proofErr w:type="spellEnd"/>
      <w:r w:rsidRPr="00CC0295">
        <w:t xml:space="preserve"> has elected to use its own logistics subsidiary, </w:t>
      </w:r>
      <w:proofErr w:type="spellStart"/>
      <w:r w:rsidRPr="00CC0295">
        <w:t>DeliveryAx</w:t>
      </w:r>
      <w:proofErr w:type="spellEnd"/>
      <w:r w:rsidRPr="00CC0295">
        <w:t xml:space="preserve">,* to deliver the cable to </w:t>
      </w:r>
      <w:proofErr w:type="spellStart"/>
      <w:r w:rsidRPr="00CC0295">
        <w:t>TeleCo</w:t>
      </w:r>
      <w:proofErr w:type="spellEnd"/>
      <w:r w:rsidRPr="00CC0295">
        <w:t xml:space="preserve">. </w:t>
      </w:r>
    </w:p>
    <w:p w:rsidR="00EB11DE" w:rsidRPr="00CC0295" w:rsidRDefault="00EB11DE" w:rsidP="00CC0295">
      <w:pPr>
        <w:pStyle w:val="Default"/>
      </w:pPr>
    </w:p>
    <w:p w:rsidR="00CC0295" w:rsidRPr="00EB11DE" w:rsidRDefault="00CC0295" w:rsidP="00CC0295">
      <w:pPr>
        <w:rPr>
          <w:rFonts w:ascii="Times New Roman" w:hAnsi="Times New Roman" w:cs="Times New Roman"/>
        </w:rPr>
      </w:pPr>
      <w:r w:rsidRPr="00EB11DE">
        <w:rPr>
          <w:rFonts w:ascii="Times New Roman" w:hAnsi="Times New Roman" w:cs="Times New Roman"/>
        </w:rPr>
        <w:t xml:space="preserve">* </w:t>
      </w:r>
      <w:proofErr w:type="spellStart"/>
      <w:r w:rsidRPr="00EB11DE">
        <w:rPr>
          <w:rFonts w:ascii="Times New Roman" w:hAnsi="Times New Roman" w:cs="Times New Roman"/>
        </w:rPr>
        <w:t>CoAx</w:t>
      </w:r>
      <w:proofErr w:type="spellEnd"/>
      <w:r w:rsidRPr="00EB11DE">
        <w:rPr>
          <w:rFonts w:ascii="Times New Roman" w:hAnsi="Times New Roman" w:cs="Times New Roman"/>
        </w:rPr>
        <w:t xml:space="preserve"> acquired 100 percent ownership interest in </w:t>
      </w:r>
      <w:proofErr w:type="spellStart"/>
      <w:r w:rsidRPr="00EB11DE">
        <w:rPr>
          <w:rFonts w:ascii="Times New Roman" w:hAnsi="Times New Roman" w:cs="Times New Roman"/>
        </w:rPr>
        <w:t>DeliveryAx</w:t>
      </w:r>
      <w:proofErr w:type="spellEnd"/>
      <w:r w:rsidRPr="00EB11DE">
        <w:rPr>
          <w:rFonts w:ascii="Times New Roman" w:hAnsi="Times New Roman" w:cs="Times New Roman"/>
        </w:rPr>
        <w:t xml:space="preserve"> in the previous year. </w:t>
      </w:r>
      <w:proofErr w:type="spellStart"/>
      <w:r w:rsidRPr="00EB11DE">
        <w:rPr>
          <w:rFonts w:ascii="Times New Roman" w:hAnsi="Times New Roman" w:cs="Times New Roman"/>
        </w:rPr>
        <w:t>DeliveryAx</w:t>
      </w:r>
      <w:proofErr w:type="spellEnd"/>
      <w:r w:rsidRPr="00EB11DE">
        <w:rPr>
          <w:rFonts w:ascii="Times New Roman" w:hAnsi="Times New Roman" w:cs="Times New Roman"/>
        </w:rPr>
        <w:t xml:space="preserve"> provides an array of shipping services to third-party customers outside the cable industry. Only 2 percent of </w:t>
      </w:r>
      <w:proofErr w:type="spellStart"/>
      <w:r w:rsidRPr="00EB11DE">
        <w:rPr>
          <w:rFonts w:ascii="Times New Roman" w:hAnsi="Times New Roman" w:cs="Times New Roman"/>
        </w:rPr>
        <w:t>DeliveryAx’s</w:t>
      </w:r>
      <w:proofErr w:type="spellEnd"/>
      <w:r w:rsidRPr="00EB11DE">
        <w:rPr>
          <w:rFonts w:ascii="Times New Roman" w:hAnsi="Times New Roman" w:cs="Times New Roman"/>
        </w:rPr>
        <w:t xml:space="preserve"> shipping revenue is expected to be derived from transactions with </w:t>
      </w:r>
      <w:proofErr w:type="spellStart"/>
      <w:r w:rsidRPr="00EB11DE">
        <w:rPr>
          <w:rFonts w:ascii="Times New Roman" w:hAnsi="Times New Roman" w:cs="Times New Roman"/>
        </w:rPr>
        <w:t>CoAx</w:t>
      </w:r>
      <w:proofErr w:type="spellEnd"/>
      <w:r w:rsidRPr="00EB11DE">
        <w:rPr>
          <w:rFonts w:ascii="Times New Roman" w:hAnsi="Times New Roman" w:cs="Times New Roman"/>
        </w:rPr>
        <w:t xml:space="preserve"> in the current year.</w:t>
      </w:r>
    </w:p>
    <w:p w:rsidR="00EB11DE" w:rsidRDefault="00EB11DE" w:rsidP="00CC0295">
      <w:pPr>
        <w:pStyle w:val="Default"/>
        <w:rPr>
          <w:b/>
          <w:bCs/>
        </w:rPr>
      </w:pPr>
    </w:p>
    <w:p w:rsidR="00EB11DE" w:rsidRDefault="00EB11DE" w:rsidP="00CC0295">
      <w:pPr>
        <w:pStyle w:val="Default"/>
        <w:rPr>
          <w:b/>
          <w:bCs/>
        </w:rPr>
      </w:pPr>
    </w:p>
    <w:p w:rsidR="00CC0295" w:rsidRDefault="00CC0295" w:rsidP="00CC0295">
      <w:pPr>
        <w:pStyle w:val="Default"/>
        <w:rPr>
          <w:b/>
          <w:bCs/>
        </w:rPr>
      </w:pPr>
      <w:r w:rsidRPr="00CC0295">
        <w:rPr>
          <w:b/>
          <w:bCs/>
        </w:rPr>
        <w:lastRenderedPageBreak/>
        <w:t xml:space="preserve">Required: </w:t>
      </w:r>
    </w:p>
    <w:p w:rsidR="00EB11DE" w:rsidRPr="00CC0295" w:rsidRDefault="00EB11DE" w:rsidP="00CC0295">
      <w:pPr>
        <w:pStyle w:val="Default"/>
      </w:pPr>
    </w:p>
    <w:p w:rsidR="00CC0295" w:rsidRDefault="00CC0295" w:rsidP="00CC0295">
      <w:pPr>
        <w:pStyle w:val="Default"/>
        <w:spacing w:after="61"/>
      </w:pPr>
      <w:r w:rsidRPr="00CC0295">
        <w:rPr>
          <w:b/>
        </w:rPr>
        <w:t>1.</w:t>
      </w:r>
      <w:r w:rsidRPr="00CC0295">
        <w:t xml:space="preserve"> Based on US GAAP (section 605), is it appropriate for </w:t>
      </w:r>
      <w:proofErr w:type="spellStart"/>
      <w:r w:rsidRPr="00CC0295">
        <w:t>CoAx</w:t>
      </w:r>
      <w:proofErr w:type="spellEnd"/>
      <w:r w:rsidRPr="00CC0295">
        <w:t xml:space="preserve"> to recognize revenue associated with Transaction 1 before the date on which </w:t>
      </w:r>
      <w:proofErr w:type="spellStart"/>
      <w:r w:rsidRPr="00CC0295">
        <w:t>CableCo</w:t>
      </w:r>
      <w:proofErr w:type="spellEnd"/>
      <w:r w:rsidRPr="00CC0295">
        <w:t xml:space="preserve"> takes delivery of the 1,000 feet of 18 AWG coaxial cable? </w:t>
      </w:r>
    </w:p>
    <w:p w:rsidR="00EB11DE" w:rsidRPr="00CC0295" w:rsidRDefault="00EB11DE" w:rsidP="00CC0295">
      <w:pPr>
        <w:pStyle w:val="Default"/>
        <w:spacing w:after="61"/>
      </w:pPr>
    </w:p>
    <w:p w:rsidR="00CC0295" w:rsidRPr="00CC0295" w:rsidRDefault="00CC0295" w:rsidP="00CC0295">
      <w:pPr>
        <w:pStyle w:val="Default"/>
      </w:pPr>
      <w:r w:rsidRPr="00CC0295">
        <w:rPr>
          <w:b/>
        </w:rPr>
        <w:t>2.</w:t>
      </w:r>
      <w:r w:rsidRPr="00CC0295">
        <w:t xml:space="preserve"> Based on US GAAP (section 605), is it appropriate to recognize revenue upon transfer of the inventory to the carrier in Transaction 2? </w:t>
      </w:r>
    </w:p>
    <w:p w:rsidR="00CC0295" w:rsidRPr="00CC0295" w:rsidRDefault="00CC0295" w:rsidP="00CC0295">
      <w:pPr>
        <w:pStyle w:val="Default"/>
      </w:pPr>
    </w:p>
    <w:p w:rsidR="00CC0295" w:rsidRPr="00CC0295" w:rsidRDefault="00CC0295" w:rsidP="00CC0295">
      <w:pPr>
        <w:pStyle w:val="Default"/>
        <w:rPr>
          <w:b/>
        </w:rPr>
      </w:pPr>
      <w:r w:rsidRPr="00CC0295">
        <w:rPr>
          <w:b/>
        </w:rPr>
        <w:t xml:space="preserve">3. </w:t>
      </w:r>
      <w:r w:rsidRPr="00CC0295">
        <w:t>Based on</w:t>
      </w:r>
      <w:r w:rsidRPr="00CC0295">
        <w:rPr>
          <w:b/>
        </w:rPr>
        <w:t xml:space="preserve"> </w:t>
      </w:r>
      <w:r w:rsidRPr="00CC0295">
        <w:t>IASB IFRS, what are your answers to question 1 and question 2?</w:t>
      </w:r>
    </w:p>
    <w:p w:rsidR="00CC0295" w:rsidRDefault="00CC0295" w:rsidP="00CC0295">
      <w:pPr>
        <w:pStyle w:val="Default"/>
        <w:rPr>
          <w:sz w:val="23"/>
          <w:szCs w:val="23"/>
        </w:rPr>
      </w:pPr>
    </w:p>
    <w:p w:rsidR="00CC0295" w:rsidRDefault="00CC0295" w:rsidP="00CC0295">
      <w:bookmarkStart w:id="0" w:name="_GoBack"/>
      <w:bookmarkEnd w:id="0"/>
    </w:p>
    <w:sectPr w:rsidR="00CC0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95"/>
    <w:rsid w:val="00B020C1"/>
    <w:rsid w:val="00CC0295"/>
    <w:rsid w:val="00D10784"/>
    <w:rsid w:val="00EB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3D518-ED6B-41BF-B07B-D50D355C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02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Zhong</dc:creator>
  <cp:keywords/>
  <dc:description/>
  <cp:lastModifiedBy>Duke</cp:lastModifiedBy>
  <cp:revision>2</cp:revision>
  <dcterms:created xsi:type="dcterms:W3CDTF">2016-10-23T21:10:00Z</dcterms:created>
  <dcterms:modified xsi:type="dcterms:W3CDTF">2016-10-23T21:10:00Z</dcterms:modified>
</cp:coreProperties>
</file>